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4D" w:rsidRPr="0096186B" w:rsidRDefault="00264670" w:rsidP="00264670">
      <w:pPr>
        <w:ind w:firstLine="708"/>
        <w:jc w:val="center"/>
        <w:rPr>
          <w:b/>
          <w:sz w:val="28"/>
          <w:szCs w:val="28"/>
        </w:rPr>
      </w:pPr>
      <w:r w:rsidRPr="0096186B">
        <w:rPr>
          <w:b/>
          <w:sz w:val="28"/>
          <w:szCs w:val="28"/>
        </w:rPr>
        <w:t>Odber</w:t>
      </w:r>
      <w:r w:rsidR="0096186B" w:rsidRPr="0096186B">
        <w:rPr>
          <w:b/>
          <w:sz w:val="28"/>
          <w:szCs w:val="28"/>
        </w:rPr>
        <w:t>, balenie</w:t>
      </w:r>
      <w:r w:rsidRPr="0096186B">
        <w:rPr>
          <w:b/>
          <w:sz w:val="28"/>
          <w:szCs w:val="28"/>
        </w:rPr>
        <w:t xml:space="preserve"> </w:t>
      </w:r>
      <w:r w:rsidR="0096186B" w:rsidRPr="0096186B">
        <w:rPr>
          <w:b/>
          <w:sz w:val="28"/>
          <w:szCs w:val="28"/>
        </w:rPr>
        <w:t xml:space="preserve">a zasielanie </w:t>
      </w:r>
      <w:r w:rsidRPr="0096186B">
        <w:rPr>
          <w:b/>
          <w:sz w:val="28"/>
          <w:szCs w:val="28"/>
        </w:rPr>
        <w:t>vzoriek na laboratórne vyšetrenie</w:t>
      </w:r>
    </w:p>
    <w:p w:rsidR="00264670" w:rsidRPr="00897711" w:rsidRDefault="00264670" w:rsidP="00264670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264670" w:rsidRPr="00897711" w:rsidRDefault="00264670" w:rsidP="003D4E6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97711">
        <w:rPr>
          <w:rFonts w:ascii="Arial" w:hAnsi="Arial" w:cs="Arial"/>
          <w:sz w:val="24"/>
          <w:szCs w:val="24"/>
        </w:rPr>
        <w:t xml:space="preserve">Predpokladom správneho </w:t>
      </w:r>
      <w:r w:rsidR="00791B63">
        <w:rPr>
          <w:rFonts w:ascii="Arial" w:hAnsi="Arial" w:cs="Arial"/>
          <w:sz w:val="24"/>
          <w:szCs w:val="24"/>
        </w:rPr>
        <w:t>výsledku laboratórneho testu</w:t>
      </w:r>
      <w:r w:rsidR="009D7656" w:rsidRPr="00897711">
        <w:rPr>
          <w:rFonts w:ascii="Arial" w:hAnsi="Arial" w:cs="Arial"/>
          <w:sz w:val="24"/>
          <w:szCs w:val="24"/>
        </w:rPr>
        <w:t>,</w:t>
      </w:r>
      <w:r w:rsidR="00791B63">
        <w:rPr>
          <w:rFonts w:ascii="Arial" w:hAnsi="Arial" w:cs="Arial"/>
          <w:sz w:val="24"/>
          <w:szCs w:val="24"/>
        </w:rPr>
        <w:t xml:space="preserve"> správneho</w:t>
      </w:r>
      <w:r w:rsidR="009D7656" w:rsidRPr="00897711">
        <w:rPr>
          <w:rFonts w:ascii="Arial" w:hAnsi="Arial" w:cs="Arial"/>
          <w:sz w:val="24"/>
          <w:szCs w:val="24"/>
        </w:rPr>
        <w:t xml:space="preserve"> stanovenia</w:t>
      </w:r>
      <w:r w:rsidRPr="00897711">
        <w:rPr>
          <w:rFonts w:ascii="Arial" w:hAnsi="Arial" w:cs="Arial"/>
          <w:sz w:val="24"/>
          <w:szCs w:val="24"/>
        </w:rPr>
        <w:t xml:space="preserve"> pôvodcu ochorenia ale tiež cielenej antimikrobiálnej terapie je správny odber vzoriek a ich správny transport do laboratória. </w:t>
      </w:r>
    </w:p>
    <w:p w:rsidR="009D7656" w:rsidRPr="00897711" w:rsidRDefault="009D7656" w:rsidP="003D4E6C">
      <w:pPr>
        <w:spacing w:line="360" w:lineRule="auto"/>
        <w:rPr>
          <w:rFonts w:ascii="Arial" w:hAnsi="Arial" w:cs="Arial"/>
          <w:sz w:val="24"/>
          <w:szCs w:val="24"/>
        </w:rPr>
      </w:pPr>
    </w:p>
    <w:p w:rsidR="009D7656" w:rsidRDefault="009D7656" w:rsidP="003D4E6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97711">
        <w:rPr>
          <w:rFonts w:ascii="Arial" w:hAnsi="Arial" w:cs="Arial"/>
          <w:b/>
          <w:sz w:val="24"/>
          <w:szCs w:val="24"/>
        </w:rPr>
        <w:t>Bakteriologické vyšetrenie</w:t>
      </w:r>
    </w:p>
    <w:p w:rsidR="00C928FC" w:rsidRDefault="004C0C89" w:rsidP="003D4E6C">
      <w:pPr>
        <w:spacing w:line="360" w:lineRule="auto"/>
        <w:rPr>
          <w:rFonts w:ascii="Arial" w:hAnsi="Arial" w:cs="Arial"/>
          <w:sz w:val="24"/>
          <w:szCs w:val="24"/>
        </w:rPr>
      </w:pPr>
      <w:r w:rsidRPr="004C0C89">
        <w:rPr>
          <w:rFonts w:ascii="Arial" w:hAnsi="Arial" w:cs="Arial"/>
          <w:sz w:val="24"/>
          <w:szCs w:val="24"/>
        </w:rPr>
        <w:t>Materiál pre bakteriologické vy</w:t>
      </w:r>
      <w:r>
        <w:rPr>
          <w:rFonts w:ascii="Arial" w:hAnsi="Arial" w:cs="Arial"/>
          <w:sz w:val="24"/>
          <w:szCs w:val="24"/>
        </w:rPr>
        <w:t>šetrenie má</w:t>
      </w:r>
      <w:r w:rsidR="00136A84">
        <w:rPr>
          <w:rFonts w:ascii="Arial" w:hAnsi="Arial" w:cs="Arial"/>
          <w:sz w:val="24"/>
          <w:szCs w:val="24"/>
        </w:rPr>
        <w:t xml:space="preserve"> byť odobratý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6A84" w:rsidRDefault="00DD4137" w:rsidP="003D4E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C0C89">
        <w:rPr>
          <w:rFonts w:ascii="Arial" w:hAnsi="Arial" w:cs="Arial"/>
          <w:sz w:val="24"/>
          <w:szCs w:val="24"/>
        </w:rPr>
        <w:t>asepticky do sterilných odberových nádob</w:t>
      </w:r>
      <w:r w:rsidR="00C928FC">
        <w:rPr>
          <w:rFonts w:ascii="Arial" w:hAnsi="Arial" w:cs="Arial"/>
          <w:sz w:val="24"/>
          <w:szCs w:val="24"/>
        </w:rPr>
        <w:t xml:space="preserve"> – zabrániť kontaminácii, často prerastá saprofytická mikroflóra</w:t>
      </w:r>
      <w:r w:rsidR="004C0C89">
        <w:rPr>
          <w:rFonts w:ascii="Arial" w:hAnsi="Arial" w:cs="Arial"/>
          <w:sz w:val="24"/>
          <w:szCs w:val="24"/>
        </w:rPr>
        <w:t xml:space="preserve"> </w:t>
      </w:r>
    </w:p>
    <w:p w:rsidR="004C0C89" w:rsidRDefault="004C0C89" w:rsidP="003D4E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="00DD413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pred zahájením </w:t>
      </w:r>
      <w:r w:rsidR="00C928FC">
        <w:rPr>
          <w:rFonts w:ascii="Arial" w:hAnsi="Arial" w:cs="Arial"/>
          <w:sz w:val="24"/>
          <w:szCs w:val="24"/>
        </w:rPr>
        <w:t>antibiotickej terapie</w:t>
      </w:r>
    </w:p>
    <w:p w:rsidR="00136A84" w:rsidRDefault="00DD4137" w:rsidP="003D4E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5B11">
        <w:rPr>
          <w:rFonts w:ascii="Arial" w:hAnsi="Arial" w:cs="Arial"/>
          <w:sz w:val="24"/>
          <w:szCs w:val="24"/>
        </w:rPr>
        <w:t>materiál  má</w:t>
      </w:r>
      <w:r w:rsidR="00136A84">
        <w:rPr>
          <w:rFonts w:ascii="Arial" w:hAnsi="Arial" w:cs="Arial"/>
          <w:sz w:val="24"/>
          <w:szCs w:val="24"/>
        </w:rPr>
        <w:t xml:space="preserve"> byť reprezentatívny – trus priamo z rekta, stredný prúd moča, zmenené časti tkanív, zoškraby z okrajových línií dermatomykotických zmien</w:t>
      </w:r>
    </w:p>
    <w:p w:rsidR="00DD4137" w:rsidRDefault="00DD4137" w:rsidP="003D4E6C">
      <w:pPr>
        <w:tabs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D4137">
        <w:rPr>
          <w:rFonts w:ascii="Arial" w:hAnsi="Arial" w:cs="Arial"/>
          <w:sz w:val="24"/>
          <w:szCs w:val="24"/>
        </w:rPr>
        <w:t>odber na anaeróbnu kultiváciu</w:t>
      </w:r>
      <w:r>
        <w:rPr>
          <w:rFonts w:ascii="Arial" w:hAnsi="Arial" w:cs="Arial"/>
          <w:sz w:val="24"/>
          <w:szCs w:val="24"/>
        </w:rPr>
        <w:t xml:space="preserve"> -  za prísne anaeróbnych podmienok do hermeticky uzatvorenej nádoby</w:t>
      </w:r>
    </w:p>
    <w:p w:rsidR="00DD4137" w:rsidRPr="00DD4137" w:rsidRDefault="00DD4137" w:rsidP="003D4E6C">
      <w:pPr>
        <w:tabs>
          <w:tab w:val="center" w:pos="453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hnis, punktát v uzatvorenej skúmavke, v striekačke s hermeticky uzatvoreným kónusom, v transportnej pôde, nie suchý tampón</w:t>
      </w:r>
    </w:p>
    <w:p w:rsidR="00DD4137" w:rsidRDefault="003C21F3" w:rsidP="003D4E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odber materiálu </w:t>
      </w:r>
      <w:r w:rsidR="00625B11">
        <w:rPr>
          <w:rFonts w:ascii="Arial" w:hAnsi="Arial" w:cs="Arial"/>
          <w:sz w:val="24"/>
          <w:szCs w:val="24"/>
        </w:rPr>
        <w:t>sa používajú tampóny</w:t>
      </w:r>
      <w:r>
        <w:rPr>
          <w:rFonts w:ascii="Arial" w:hAnsi="Arial" w:cs="Arial"/>
          <w:sz w:val="24"/>
          <w:szCs w:val="24"/>
        </w:rPr>
        <w:t>, ktoré môžu byť bez alebo s transportným médiom</w:t>
      </w:r>
      <w:r w:rsidR="00330D06">
        <w:rPr>
          <w:rFonts w:ascii="Arial" w:hAnsi="Arial" w:cs="Arial"/>
          <w:sz w:val="24"/>
          <w:szCs w:val="24"/>
        </w:rPr>
        <w:t>. Suché tampóny bez transportného média je nutné pred použitím namočiť v sterilnom fyziologickom roztoku (alebo aqua pro inj.) aby sa zabránilo vysychaniu a odumieraniu baktérií počas uchovávania a transportu.</w:t>
      </w:r>
      <w:r w:rsidR="003D4E6C">
        <w:rPr>
          <w:rFonts w:ascii="Arial" w:hAnsi="Arial" w:cs="Arial"/>
          <w:sz w:val="24"/>
          <w:szCs w:val="24"/>
        </w:rPr>
        <w:t xml:space="preserve"> Preto sú výhodnejšie tampóny s transportným médiom, ktoré zabezpečuje prostredie pre prežívanie širokého spektra mikroorganizmov bez ich pomnoženia.</w:t>
      </w:r>
      <w:r w:rsidR="00D72519">
        <w:rPr>
          <w:rFonts w:ascii="Arial" w:hAnsi="Arial" w:cs="Arial"/>
          <w:sz w:val="24"/>
          <w:szCs w:val="24"/>
        </w:rPr>
        <w:t xml:space="preserve"> Tieto tampóny netreba pred použitím zvlhčovať. Používa sa médium podľa Stuarta, Amiesa alebo Caryho a Blaira.</w:t>
      </w:r>
      <w:r w:rsidR="00C61E3C">
        <w:rPr>
          <w:rFonts w:ascii="Arial" w:hAnsi="Arial" w:cs="Arial"/>
          <w:sz w:val="24"/>
          <w:szCs w:val="24"/>
        </w:rPr>
        <w:t xml:space="preserve"> Sú vhodné pre všetky výtery</w:t>
      </w:r>
      <w:r w:rsidR="00596761">
        <w:rPr>
          <w:rFonts w:ascii="Arial" w:hAnsi="Arial" w:cs="Arial"/>
          <w:sz w:val="24"/>
          <w:szCs w:val="24"/>
        </w:rPr>
        <w:t>.</w:t>
      </w:r>
    </w:p>
    <w:p w:rsidR="00596761" w:rsidRDefault="00596761" w:rsidP="003D4E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Platí,</w:t>
      </w:r>
      <w:r w:rsidR="009C6625">
        <w:rPr>
          <w:rFonts w:ascii="Arial" w:hAnsi="Arial" w:cs="Arial"/>
          <w:sz w:val="24"/>
          <w:szCs w:val="24"/>
        </w:rPr>
        <w:t xml:space="preserve"> že materiál pre bakteriologické</w:t>
      </w:r>
      <w:r>
        <w:rPr>
          <w:rFonts w:ascii="Arial" w:hAnsi="Arial" w:cs="Arial"/>
          <w:sz w:val="24"/>
          <w:szCs w:val="24"/>
        </w:rPr>
        <w:t xml:space="preserve"> vyšetrenie má byť dop</w:t>
      </w:r>
      <w:r w:rsidR="009C6625">
        <w:rPr>
          <w:rFonts w:ascii="Arial" w:hAnsi="Arial" w:cs="Arial"/>
          <w:sz w:val="24"/>
          <w:szCs w:val="24"/>
        </w:rPr>
        <w:t>ravený do laboratória čo najskôr a každé oneskorenie znižuje záchyt najmä kultivačne náročných mikroorganizmov.</w:t>
      </w:r>
    </w:p>
    <w:p w:rsidR="003D4E6C" w:rsidRDefault="009C6625" w:rsidP="00026C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Pri použití tampónov s transportným médiom sa odporúča vzorky uchovávať pri izbovej teplote a odoslať do laboratória najneskôr do 48 hodín. Suché tampóny (bez transportných médií) sa doporučuje používať </w:t>
      </w:r>
      <w:r w:rsidR="00026C0D">
        <w:rPr>
          <w:rFonts w:ascii="Arial" w:hAnsi="Arial" w:cs="Arial"/>
          <w:sz w:val="24"/>
          <w:szCs w:val="24"/>
        </w:rPr>
        <w:t>iba pri možnosti transportu do 3 hodín. Materiál pre bakteriologické</w:t>
      </w:r>
      <w:r w:rsidR="00625B11">
        <w:rPr>
          <w:rFonts w:ascii="Arial" w:hAnsi="Arial" w:cs="Arial"/>
          <w:sz w:val="24"/>
          <w:szCs w:val="24"/>
        </w:rPr>
        <w:t xml:space="preserve"> vyšetrenie sa nesmie zmrazovať!</w:t>
      </w:r>
    </w:p>
    <w:p w:rsidR="003D4E6C" w:rsidRDefault="003D4E6C" w:rsidP="009D7656">
      <w:pPr>
        <w:rPr>
          <w:rFonts w:ascii="Arial" w:hAnsi="Arial" w:cs="Arial"/>
          <w:sz w:val="24"/>
          <w:szCs w:val="24"/>
        </w:rPr>
      </w:pPr>
    </w:p>
    <w:p w:rsidR="001F1A7B" w:rsidRDefault="001F1A7B" w:rsidP="009D7656">
      <w:pPr>
        <w:rPr>
          <w:rFonts w:ascii="Arial" w:hAnsi="Arial" w:cs="Arial"/>
          <w:sz w:val="24"/>
          <w:szCs w:val="24"/>
        </w:rPr>
      </w:pPr>
    </w:p>
    <w:p w:rsidR="001F1A7B" w:rsidRDefault="001F1A7B" w:rsidP="009D7656">
      <w:pPr>
        <w:rPr>
          <w:rFonts w:ascii="Arial" w:hAnsi="Arial" w:cs="Arial"/>
          <w:b/>
          <w:sz w:val="24"/>
          <w:szCs w:val="24"/>
        </w:rPr>
      </w:pPr>
      <w:r w:rsidRPr="001F1A7B">
        <w:rPr>
          <w:rFonts w:ascii="Arial" w:hAnsi="Arial" w:cs="Arial"/>
          <w:b/>
          <w:sz w:val="24"/>
          <w:szCs w:val="24"/>
        </w:rPr>
        <w:t>Sérologické vyšetrenie</w:t>
      </w:r>
    </w:p>
    <w:p w:rsidR="00A62A6B" w:rsidRPr="00A62A6B" w:rsidRDefault="00A62A6B" w:rsidP="003D4E6C">
      <w:pPr>
        <w:spacing w:line="360" w:lineRule="auto"/>
        <w:rPr>
          <w:rFonts w:ascii="Arial" w:hAnsi="Arial" w:cs="Arial"/>
          <w:sz w:val="24"/>
          <w:szCs w:val="24"/>
        </w:rPr>
      </w:pPr>
      <w:r w:rsidRPr="00A62A6B">
        <w:rPr>
          <w:rFonts w:ascii="Arial" w:hAnsi="Arial" w:cs="Arial"/>
          <w:sz w:val="24"/>
          <w:szCs w:val="24"/>
        </w:rPr>
        <w:t xml:space="preserve">Pre stanovenie </w:t>
      </w:r>
      <w:r>
        <w:rPr>
          <w:rFonts w:ascii="Arial" w:hAnsi="Arial" w:cs="Arial"/>
          <w:sz w:val="24"/>
          <w:szCs w:val="24"/>
        </w:rPr>
        <w:t>protilátok v krvi sa odoberie krv v množstve 3 – 5 ml bez použitia antikoagulačných látok (heparín, citrát sodný, EDTA a pod.)</w:t>
      </w:r>
      <w:r w:rsidR="00DD667A">
        <w:rPr>
          <w:rFonts w:ascii="Arial" w:hAnsi="Arial" w:cs="Arial"/>
          <w:sz w:val="24"/>
          <w:szCs w:val="24"/>
        </w:rPr>
        <w:t>. Krv sa skladuje pri chladničkovej teplote nie dlhšie ako 48 hod</w:t>
      </w:r>
      <w:r w:rsidR="00625B11">
        <w:rPr>
          <w:rFonts w:ascii="Arial" w:hAnsi="Arial" w:cs="Arial"/>
          <w:sz w:val="24"/>
          <w:szCs w:val="24"/>
        </w:rPr>
        <w:t>ín</w:t>
      </w:r>
      <w:r w:rsidR="00DD667A">
        <w:rPr>
          <w:rFonts w:ascii="Arial" w:hAnsi="Arial" w:cs="Arial"/>
          <w:sz w:val="24"/>
          <w:szCs w:val="24"/>
        </w:rPr>
        <w:t>, čisté sérum možno skladovať aj dlhšie, príp. zamraziť.</w:t>
      </w:r>
    </w:p>
    <w:p w:rsidR="009D7656" w:rsidRDefault="009D7656" w:rsidP="003D4E6C">
      <w:pPr>
        <w:spacing w:line="360" w:lineRule="auto"/>
        <w:rPr>
          <w:rFonts w:ascii="Arial" w:hAnsi="Arial" w:cs="Arial"/>
          <w:sz w:val="24"/>
          <w:szCs w:val="24"/>
        </w:rPr>
      </w:pPr>
    </w:p>
    <w:p w:rsidR="004D0E20" w:rsidRDefault="004D0E20" w:rsidP="003D4E6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D0E20">
        <w:rPr>
          <w:rFonts w:ascii="Arial" w:hAnsi="Arial" w:cs="Arial"/>
          <w:b/>
          <w:sz w:val="24"/>
          <w:szCs w:val="24"/>
        </w:rPr>
        <w:t>Parazitologické vyšetrenie</w:t>
      </w:r>
    </w:p>
    <w:p w:rsidR="004D0E20" w:rsidRDefault="00DD667A" w:rsidP="003D4E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E20">
        <w:rPr>
          <w:rFonts w:ascii="Arial" w:hAnsi="Arial" w:cs="Arial"/>
          <w:sz w:val="24"/>
          <w:szCs w:val="24"/>
        </w:rPr>
        <w:t xml:space="preserve"> koprologické vyšetrenie</w:t>
      </w:r>
      <w:r>
        <w:rPr>
          <w:rFonts w:ascii="Arial" w:hAnsi="Arial" w:cs="Arial"/>
          <w:sz w:val="24"/>
          <w:szCs w:val="24"/>
        </w:rPr>
        <w:t>:</w:t>
      </w:r>
      <w:r w:rsidR="004D0E20">
        <w:rPr>
          <w:rFonts w:ascii="Arial" w:hAnsi="Arial" w:cs="Arial"/>
          <w:sz w:val="24"/>
          <w:szCs w:val="24"/>
        </w:rPr>
        <w:t xml:space="preserve"> </w:t>
      </w:r>
      <w:r w:rsidR="00AE1DB9">
        <w:rPr>
          <w:rFonts w:ascii="Arial" w:hAnsi="Arial" w:cs="Arial"/>
          <w:sz w:val="24"/>
          <w:szCs w:val="24"/>
        </w:rPr>
        <w:t xml:space="preserve"> čerstvé fekálie odobraté z rekta alebo bezprostredne po ich vylúčení z tela. Odoberajú sa do plastových kontajnerov  s lopatkou, igelitových vreciek, sklenených nádob s uzáverom.</w:t>
      </w:r>
    </w:p>
    <w:p w:rsidR="00AE1DB9" w:rsidRDefault="00AE1DB9" w:rsidP="003D4E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Odoslať do laboratória do dvoch hodín alebo uskladniť v chladničke. Vzorky nemraziť!</w:t>
      </w:r>
    </w:p>
    <w:p w:rsidR="00DD667A" w:rsidRDefault="00DD667A" w:rsidP="003D4E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vyšetrenie ektoparazitov: skalpelom sa odoberie zoškrab na rozhraní zmenenej a zdravej kože a dá do uzatvárateľného obalu</w:t>
      </w:r>
    </w:p>
    <w:p w:rsidR="00DD667A" w:rsidRDefault="00DD667A" w:rsidP="003D4E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srsť a perie sa vytrhne a vloží do nepriepustného obalu </w:t>
      </w:r>
    </w:p>
    <w:p w:rsidR="00DC1A8A" w:rsidRDefault="00DC1A8A" w:rsidP="003D4E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C76DA" w:rsidRDefault="003C76DA" w:rsidP="003D4E6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76DA">
        <w:rPr>
          <w:rFonts w:ascii="Arial" w:hAnsi="Arial" w:cs="Arial"/>
          <w:b/>
          <w:sz w:val="24"/>
          <w:szCs w:val="24"/>
        </w:rPr>
        <w:t>Biochemické vyšetrenie</w:t>
      </w:r>
    </w:p>
    <w:p w:rsidR="003C76DA" w:rsidRDefault="003C76DA" w:rsidP="003D4E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Odoberá sa celá (nezrazená) krv, pri odbere sa používajú antikoagulačné látky.</w:t>
      </w:r>
    </w:p>
    <w:p w:rsidR="003C76DA" w:rsidRDefault="003C76DA" w:rsidP="003D4E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Vhodnosť použitia </w:t>
      </w:r>
      <w:proofErr w:type="spellStart"/>
      <w:r>
        <w:rPr>
          <w:rFonts w:ascii="Arial" w:hAnsi="Arial" w:cs="Arial"/>
          <w:sz w:val="24"/>
          <w:szCs w:val="24"/>
        </w:rPr>
        <w:t>antikoagulačnej</w:t>
      </w:r>
      <w:proofErr w:type="spellEnd"/>
      <w:r>
        <w:rPr>
          <w:rFonts w:ascii="Arial" w:hAnsi="Arial" w:cs="Arial"/>
          <w:sz w:val="24"/>
          <w:szCs w:val="24"/>
        </w:rPr>
        <w:t xml:space="preserve"> látky pre jednotlivé požadované</w:t>
      </w:r>
      <w:r w:rsidR="00DD5C58">
        <w:rPr>
          <w:rFonts w:ascii="Arial" w:hAnsi="Arial" w:cs="Arial"/>
          <w:sz w:val="24"/>
          <w:szCs w:val="24"/>
        </w:rPr>
        <w:t xml:space="preserve"> stanovenia je uvedená v tab. 2.</w:t>
      </w:r>
    </w:p>
    <w:p w:rsidR="00D72519" w:rsidRDefault="00D72519">
      <w:pPr>
        <w:rPr>
          <w:rFonts w:ascii="Arial" w:hAnsi="Arial" w:cs="Arial"/>
          <w:sz w:val="24"/>
          <w:szCs w:val="24"/>
        </w:rPr>
      </w:pPr>
    </w:p>
    <w:p w:rsidR="00D72519" w:rsidRPr="00DD5C58" w:rsidRDefault="00DD5C58">
      <w:pPr>
        <w:rPr>
          <w:rFonts w:ascii="Arial" w:hAnsi="Arial" w:cs="Arial"/>
          <w:b/>
        </w:rPr>
      </w:pPr>
      <w:r w:rsidRPr="00DD5C58">
        <w:rPr>
          <w:rFonts w:ascii="Arial" w:hAnsi="Arial" w:cs="Arial"/>
          <w:b/>
        </w:rPr>
        <w:lastRenderedPageBreak/>
        <w:t>Tab.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54"/>
        <w:gridCol w:w="2246"/>
        <w:gridCol w:w="4255"/>
      </w:tblGrid>
      <w:tr w:rsidR="003C76DA" w:rsidTr="00DD5C58">
        <w:tc>
          <w:tcPr>
            <w:tcW w:w="0" w:type="auto"/>
          </w:tcPr>
          <w:p w:rsidR="003C76DA" w:rsidRPr="003C76DA" w:rsidRDefault="003C76DA" w:rsidP="003C76DA">
            <w:pPr>
              <w:jc w:val="center"/>
              <w:rPr>
                <w:rFonts w:ascii="Arial" w:hAnsi="Arial" w:cs="Arial"/>
                <w:b/>
              </w:rPr>
            </w:pPr>
            <w:r w:rsidRPr="003C76DA">
              <w:rPr>
                <w:rFonts w:ascii="Arial" w:hAnsi="Arial" w:cs="Arial"/>
                <w:b/>
              </w:rPr>
              <w:t xml:space="preserve">Druh </w:t>
            </w:r>
            <w:proofErr w:type="spellStart"/>
            <w:r w:rsidRPr="003C76DA">
              <w:rPr>
                <w:rFonts w:ascii="Arial" w:hAnsi="Arial" w:cs="Arial"/>
                <w:b/>
              </w:rPr>
              <w:t>antikoagulancia</w:t>
            </w:r>
            <w:proofErr w:type="spellEnd"/>
          </w:p>
        </w:tc>
        <w:tc>
          <w:tcPr>
            <w:tcW w:w="0" w:type="auto"/>
          </w:tcPr>
          <w:p w:rsidR="003C76DA" w:rsidRPr="003C76DA" w:rsidRDefault="003C76DA" w:rsidP="003C76DA">
            <w:pPr>
              <w:jc w:val="center"/>
              <w:rPr>
                <w:rFonts w:ascii="Arial" w:hAnsi="Arial" w:cs="Arial"/>
                <w:b/>
              </w:rPr>
            </w:pPr>
            <w:r w:rsidRPr="003C76DA">
              <w:rPr>
                <w:rFonts w:ascii="Arial" w:hAnsi="Arial" w:cs="Arial"/>
                <w:b/>
              </w:rPr>
              <w:t>Koncentrácia v krvi</w:t>
            </w:r>
          </w:p>
        </w:tc>
        <w:tc>
          <w:tcPr>
            <w:tcW w:w="4255" w:type="dxa"/>
          </w:tcPr>
          <w:p w:rsidR="003C76DA" w:rsidRPr="003C76DA" w:rsidRDefault="003C76DA" w:rsidP="003C76DA">
            <w:pPr>
              <w:jc w:val="center"/>
              <w:rPr>
                <w:rFonts w:ascii="Arial" w:hAnsi="Arial" w:cs="Arial"/>
                <w:b/>
              </w:rPr>
            </w:pPr>
            <w:r w:rsidRPr="003C76DA">
              <w:rPr>
                <w:rFonts w:ascii="Arial" w:hAnsi="Arial" w:cs="Arial"/>
                <w:b/>
              </w:rPr>
              <w:t>Použitie</w:t>
            </w:r>
          </w:p>
        </w:tc>
      </w:tr>
      <w:tr w:rsidR="003C76DA" w:rsidTr="00DD5C58">
        <w:tc>
          <w:tcPr>
            <w:tcW w:w="0" w:type="auto"/>
          </w:tcPr>
          <w:p w:rsidR="003C76DA" w:rsidRDefault="003C7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EDTA</w:t>
            </w:r>
          </w:p>
        </w:tc>
        <w:tc>
          <w:tcPr>
            <w:tcW w:w="0" w:type="auto"/>
          </w:tcPr>
          <w:p w:rsidR="003C76DA" w:rsidRDefault="003C7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mg / ml</w:t>
            </w:r>
          </w:p>
        </w:tc>
        <w:tc>
          <w:tcPr>
            <w:tcW w:w="4255" w:type="dxa"/>
          </w:tcPr>
          <w:p w:rsidR="003C76DA" w:rsidRDefault="003C7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hematologické testy, glukóza, amoniak, analýza DNA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genotypizácia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paternita)</w:t>
            </w:r>
          </w:p>
        </w:tc>
      </w:tr>
      <w:tr w:rsidR="003C76DA" w:rsidTr="00DD5C58">
        <w:tc>
          <w:tcPr>
            <w:tcW w:w="0" w:type="auto"/>
          </w:tcPr>
          <w:p w:rsidR="003C76DA" w:rsidRDefault="003C76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heparín</w:t>
            </w:r>
            <w:proofErr w:type="spellEnd"/>
          </w:p>
        </w:tc>
        <w:tc>
          <w:tcPr>
            <w:tcW w:w="0" w:type="auto"/>
          </w:tcPr>
          <w:p w:rsidR="003C76DA" w:rsidRDefault="003C7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 mg / ml</w:t>
            </w:r>
          </w:p>
        </w:tc>
        <w:tc>
          <w:tcPr>
            <w:tcW w:w="4255" w:type="dxa"/>
          </w:tcPr>
          <w:p w:rsidR="003C76DA" w:rsidRDefault="003C7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aktivita enzýmov, chemické analýzy</w:t>
            </w:r>
          </w:p>
        </w:tc>
      </w:tr>
      <w:tr w:rsidR="003C76DA" w:rsidTr="00DD5C58">
        <w:tc>
          <w:tcPr>
            <w:tcW w:w="0" w:type="auto"/>
          </w:tcPr>
          <w:p w:rsidR="003C76DA" w:rsidRDefault="003C7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fluorid sodný</w:t>
            </w:r>
          </w:p>
        </w:tc>
        <w:tc>
          <w:tcPr>
            <w:tcW w:w="0" w:type="auto"/>
          </w:tcPr>
          <w:p w:rsidR="003C76DA" w:rsidRDefault="003C7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mg / ml</w:t>
            </w:r>
          </w:p>
        </w:tc>
        <w:tc>
          <w:tcPr>
            <w:tcW w:w="4255" w:type="dxa"/>
          </w:tcPr>
          <w:p w:rsidR="003C76DA" w:rsidRDefault="003C7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glukóza,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laktát</w:t>
            </w:r>
            <w:proofErr w:type="spellEnd"/>
          </w:p>
        </w:tc>
      </w:tr>
      <w:tr w:rsidR="003C76DA" w:rsidTr="00DD5C58">
        <w:tc>
          <w:tcPr>
            <w:tcW w:w="0" w:type="auto"/>
          </w:tcPr>
          <w:p w:rsidR="003C76DA" w:rsidRDefault="003C76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citrát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sodný</w:t>
            </w:r>
          </w:p>
        </w:tc>
        <w:tc>
          <w:tcPr>
            <w:tcW w:w="0" w:type="auto"/>
          </w:tcPr>
          <w:p w:rsidR="003C76DA" w:rsidRDefault="003C7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mg / ml</w:t>
            </w:r>
          </w:p>
        </w:tc>
        <w:tc>
          <w:tcPr>
            <w:tcW w:w="4255" w:type="dxa"/>
          </w:tcPr>
          <w:p w:rsidR="003C76DA" w:rsidRDefault="003C7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zrážanlivosť, sedimentácia</w:t>
            </w:r>
          </w:p>
        </w:tc>
      </w:tr>
    </w:tbl>
    <w:p w:rsidR="003D4E6C" w:rsidRDefault="003C7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031F" w:rsidRDefault="00DD031F">
      <w:pPr>
        <w:rPr>
          <w:rFonts w:ascii="Arial" w:hAnsi="Arial" w:cs="Arial"/>
          <w:sz w:val="24"/>
          <w:szCs w:val="24"/>
        </w:rPr>
      </w:pPr>
    </w:p>
    <w:p w:rsidR="003D4A70" w:rsidRDefault="003D4A70">
      <w:pPr>
        <w:rPr>
          <w:rFonts w:ascii="Arial" w:hAnsi="Arial" w:cs="Arial"/>
          <w:b/>
          <w:sz w:val="24"/>
          <w:szCs w:val="24"/>
        </w:rPr>
      </w:pPr>
      <w:r w:rsidRPr="003D4A70">
        <w:rPr>
          <w:rFonts w:ascii="Arial" w:hAnsi="Arial" w:cs="Arial"/>
          <w:b/>
          <w:sz w:val="24"/>
          <w:szCs w:val="24"/>
        </w:rPr>
        <w:t>Histologické vyšetrenie</w:t>
      </w:r>
    </w:p>
    <w:p w:rsidR="00DD031F" w:rsidRPr="00DD031F" w:rsidRDefault="00DD031F" w:rsidP="003D4E6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DD031F">
        <w:rPr>
          <w:rFonts w:ascii="Arial" w:eastAsia="Times New Roman" w:hAnsi="Arial" w:cs="Arial"/>
          <w:sz w:val="24"/>
          <w:szCs w:val="24"/>
        </w:rPr>
        <w:t xml:space="preserve">Pri odbere a spracovaní vzoriek pre histológiu záleží na požadovanom vyšetrení. Vždy je však najlepšie dodať čo najčerstvejší materiál (najlepšie do 2 hodín). V prípade </w:t>
      </w:r>
      <w:proofErr w:type="spellStart"/>
      <w:r w:rsidRPr="00DD031F">
        <w:rPr>
          <w:rFonts w:ascii="Arial" w:eastAsia="Times New Roman" w:hAnsi="Arial" w:cs="Arial"/>
          <w:sz w:val="24"/>
          <w:szCs w:val="24"/>
        </w:rPr>
        <w:t>imunohistologických</w:t>
      </w:r>
      <w:proofErr w:type="spellEnd"/>
      <w:r w:rsidRPr="00DD031F">
        <w:rPr>
          <w:rFonts w:ascii="Arial" w:eastAsia="Times New Roman" w:hAnsi="Arial" w:cs="Arial"/>
          <w:sz w:val="24"/>
          <w:szCs w:val="24"/>
        </w:rPr>
        <w:t xml:space="preserve"> metód detekcie r</w:t>
      </w:r>
      <w:r>
        <w:rPr>
          <w:rFonts w:ascii="Arial" w:eastAsia="Times New Roman" w:hAnsi="Arial" w:cs="Arial"/>
          <w:sz w:val="24"/>
          <w:szCs w:val="24"/>
        </w:rPr>
        <w:t xml:space="preserve">ôznych antigénov </w:t>
      </w:r>
      <w:r w:rsidRPr="00DD031F">
        <w:rPr>
          <w:rFonts w:ascii="Arial" w:eastAsia="Times New Roman" w:hAnsi="Arial" w:cs="Arial"/>
          <w:sz w:val="24"/>
          <w:szCs w:val="24"/>
        </w:rPr>
        <w:t xml:space="preserve"> nie je zásadná zachovaná štruktúra tkaniva, preto je možné vzorky zmrazovať čím sa predĺži ich použiteľnosť. Pri požiadavke klasického histologického preparátu zameraného na štruktúru tkaniva (</w:t>
      </w:r>
      <w:proofErr w:type="spellStart"/>
      <w:r w:rsidRPr="00DD031F">
        <w:rPr>
          <w:rFonts w:ascii="Arial" w:eastAsia="Times New Roman" w:hAnsi="Arial" w:cs="Arial"/>
          <w:sz w:val="24"/>
          <w:szCs w:val="24"/>
        </w:rPr>
        <w:t>degeneratívne</w:t>
      </w:r>
      <w:proofErr w:type="spellEnd"/>
      <w:r w:rsidRPr="00DD031F">
        <w:rPr>
          <w:rFonts w:ascii="Arial" w:eastAsia="Times New Roman" w:hAnsi="Arial" w:cs="Arial"/>
          <w:sz w:val="24"/>
          <w:szCs w:val="24"/>
        </w:rPr>
        <w:t xml:space="preserve"> zmeny a pod.) je zmrazovanie nemožné a preto je nutné vzorku dopraviť hneď po odbere do laboratória alebo ju fixovať</w:t>
      </w:r>
      <w:r>
        <w:rPr>
          <w:rFonts w:ascii="Arial" w:eastAsia="Times New Roman" w:hAnsi="Arial" w:cs="Arial"/>
          <w:sz w:val="24"/>
          <w:szCs w:val="24"/>
        </w:rPr>
        <w:t>10%</w:t>
      </w:r>
      <w:r w:rsidRPr="00DD031F">
        <w:rPr>
          <w:rFonts w:ascii="Arial" w:eastAsia="Times New Roman" w:hAnsi="Arial" w:cs="Arial"/>
          <w:sz w:val="24"/>
          <w:szCs w:val="24"/>
        </w:rPr>
        <w:t xml:space="preserve"> formalínom.</w:t>
      </w:r>
    </w:p>
    <w:p w:rsidR="00DD031F" w:rsidRPr="00DD031F" w:rsidRDefault="00DD031F" w:rsidP="003D4E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3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031F" w:rsidRDefault="00DD031F" w:rsidP="003D4E6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Vyšetrenie metódou PCR</w:t>
      </w:r>
    </w:p>
    <w:p w:rsidR="00DD031F" w:rsidRPr="00DD031F" w:rsidRDefault="00DD031F" w:rsidP="003D4E6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DD031F">
        <w:rPr>
          <w:rFonts w:ascii="Arial" w:eastAsia="Times New Roman" w:hAnsi="Arial" w:cs="Arial"/>
          <w:sz w:val="24"/>
          <w:szCs w:val="24"/>
        </w:rPr>
        <w:t>PCR metóda sa dá použiť pre detekciu baktérií aj vírusov z akéhokoľvek biologického materiálu bez požiadavky životasch</w:t>
      </w:r>
      <w:r w:rsidR="005A5B40">
        <w:rPr>
          <w:rFonts w:ascii="Arial" w:eastAsia="Times New Roman" w:hAnsi="Arial" w:cs="Arial"/>
          <w:sz w:val="24"/>
          <w:szCs w:val="24"/>
        </w:rPr>
        <w:t>opnosti detegovaných mikroorgani</w:t>
      </w:r>
      <w:r w:rsidRPr="00DD031F">
        <w:rPr>
          <w:rFonts w:ascii="Arial" w:eastAsia="Times New Roman" w:hAnsi="Arial" w:cs="Arial"/>
          <w:sz w:val="24"/>
          <w:szCs w:val="24"/>
        </w:rPr>
        <w:t xml:space="preserve">zmov. Aj tu však platí pravidlo, že čím je materiál čerstvejší, tým je záchyt </w:t>
      </w:r>
      <w:proofErr w:type="spellStart"/>
      <w:r w:rsidRPr="00DD031F">
        <w:rPr>
          <w:rFonts w:ascii="Arial" w:eastAsia="Times New Roman" w:hAnsi="Arial" w:cs="Arial"/>
          <w:sz w:val="24"/>
          <w:szCs w:val="24"/>
        </w:rPr>
        <w:t>patogéna</w:t>
      </w:r>
      <w:proofErr w:type="spellEnd"/>
      <w:r w:rsidRPr="00DD031F">
        <w:rPr>
          <w:rFonts w:ascii="Arial" w:eastAsia="Times New Roman" w:hAnsi="Arial" w:cs="Arial"/>
          <w:sz w:val="24"/>
          <w:szCs w:val="24"/>
        </w:rPr>
        <w:t xml:space="preserve"> lepší. Vzorky je pritom možné</w:t>
      </w:r>
      <w:r w:rsidR="00514098">
        <w:rPr>
          <w:rFonts w:ascii="Arial" w:eastAsia="Times New Roman" w:hAnsi="Arial" w:cs="Arial"/>
          <w:sz w:val="24"/>
          <w:szCs w:val="24"/>
        </w:rPr>
        <w:t xml:space="preserve"> zmraziť</w:t>
      </w:r>
      <w:r w:rsidRPr="00DD031F">
        <w:rPr>
          <w:rFonts w:ascii="Arial" w:eastAsia="Times New Roman" w:hAnsi="Arial" w:cs="Arial"/>
          <w:sz w:val="24"/>
          <w:szCs w:val="24"/>
        </w:rPr>
        <w:t xml:space="preserve">. Pre túto metódu je však limitujúce použitie niektorých chemikálií, ktoré pôsobia ako inhibítory </w:t>
      </w:r>
      <w:proofErr w:type="spellStart"/>
      <w:r w:rsidRPr="00DD031F">
        <w:rPr>
          <w:rFonts w:ascii="Arial" w:eastAsia="Times New Roman" w:hAnsi="Arial" w:cs="Arial"/>
          <w:sz w:val="24"/>
          <w:szCs w:val="24"/>
        </w:rPr>
        <w:t>polymerázy</w:t>
      </w:r>
      <w:proofErr w:type="spellEnd"/>
      <w:r w:rsidRPr="00DD031F">
        <w:rPr>
          <w:rFonts w:ascii="Arial" w:eastAsia="Times New Roman" w:hAnsi="Arial" w:cs="Arial"/>
          <w:sz w:val="24"/>
          <w:szCs w:val="24"/>
        </w:rPr>
        <w:t xml:space="preserve"> a tým znemožňujú analýzu. Sú to predovšetkým formalín, </w:t>
      </w:r>
      <w:proofErr w:type="spellStart"/>
      <w:r w:rsidRPr="00DD031F">
        <w:rPr>
          <w:rFonts w:ascii="Arial" w:eastAsia="Times New Roman" w:hAnsi="Arial" w:cs="Arial"/>
          <w:sz w:val="24"/>
          <w:szCs w:val="24"/>
        </w:rPr>
        <w:t>hepa</w:t>
      </w:r>
      <w:r w:rsidR="00514098">
        <w:rPr>
          <w:rFonts w:ascii="Arial" w:eastAsia="Times New Roman" w:hAnsi="Arial" w:cs="Arial"/>
          <w:sz w:val="24"/>
          <w:szCs w:val="24"/>
        </w:rPr>
        <w:t>r</w:t>
      </w:r>
      <w:r w:rsidRPr="00DD031F">
        <w:rPr>
          <w:rFonts w:ascii="Arial" w:eastAsia="Times New Roman" w:hAnsi="Arial" w:cs="Arial"/>
          <w:sz w:val="24"/>
          <w:szCs w:val="24"/>
        </w:rPr>
        <w:t>ín</w:t>
      </w:r>
      <w:proofErr w:type="spellEnd"/>
      <w:r w:rsidRPr="00DD031F">
        <w:rPr>
          <w:rFonts w:ascii="Arial" w:eastAsia="Times New Roman" w:hAnsi="Arial" w:cs="Arial"/>
          <w:sz w:val="24"/>
          <w:szCs w:val="24"/>
        </w:rPr>
        <w:t xml:space="preserve"> a </w:t>
      </w:r>
      <w:proofErr w:type="spellStart"/>
      <w:r w:rsidRPr="00DD031F">
        <w:rPr>
          <w:rFonts w:ascii="Arial" w:eastAsia="Times New Roman" w:hAnsi="Arial" w:cs="Arial"/>
          <w:sz w:val="24"/>
          <w:szCs w:val="24"/>
        </w:rPr>
        <w:t>citrát</w:t>
      </w:r>
      <w:proofErr w:type="spellEnd"/>
      <w:r w:rsidRPr="00DD031F">
        <w:rPr>
          <w:rFonts w:ascii="Arial" w:eastAsia="Times New Roman" w:hAnsi="Arial" w:cs="Arial"/>
          <w:sz w:val="24"/>
          <w:szCs w:val="24"/>
        </w:rPr>
        <w:t xml:space="preserve"> sodný. Preto vzorky krvi musia byť ošetrené iným </w:t>
      </w:r>
      <w:proofErr w:type="spellStart"/>
      <w:r w:rsidRPr="00DD031F">
        <w:rPr>
          <w:rFonts w:ascii="Arial" w:eastAsia="Times New Roman" w:hAnsi="Arial" w:cs="Arial"/>
          <w:sz w:val="24"/>
          <w:szCs w:val="24"/>
        </w:rPr>
        <w:t>antikoagulačným</w:t>
      </w:r>
      <w:proofErr w:type="spellEnd"/>
      <w:r w:rsidRPr="00DD031F">
        <w:rPr>
          <w:rFonts w:ascii="Arial" w:eastAsia="Times New Roman" w:hAnsi="Arial" w:cs="Arial"/>
          <w:sz w:val="24"/>
          <w:szCs w:val="24"/>
        </w:rPr>
        <w:t xml:space="preserve"> príp</w:t>
      </w:r>
      <w:r w:rsidR="00514098">
        <w:rPr>
          <w:rFonts w:ascii="Arial" w:eastAsia="Times New Roman" w:hAnsi="Arial" w:cs="Arial"/>
          <w:sz w:val="24"/>
          <w:szCs w:val="24"/>
        </w:rPr>
        <w:t>ravkom (napr. EDTA</w:t>
      </w:r>
      <w:r w:rsidRPr="00DD031F">
        <w:rPr>
          <w:rFonts w:ascii="Arial" w:eastAsia="Times New Roman" w:hAnsi="Arial" w:cs="Arial"/>
          <w:sz w:val="24"/>
          <w:szCs w:val="24"/>
        </w:rPr>
        <w:t>). Ako inhibítor pôsobí taktiež hemoglobín, preto je vyšetrenie z </w:t>
      </w:r>
      <w:proofErr w:type="spellStart"/>
      <w:r w:rsidRPr="00DD031F">
        <w:rPr>
          <w:rFonts w:ascii="Arial" w:eastAsia="Times New Roman" w:hAnsi="Arial" w:cs="Arial"/>
          <w:sz w:val="24"/>
          <w:szCs w:val="24"/>
        </w:rPr>
        <w:t>hemolyzovanej</w:t>
      </w:r>
      <w:proofErr w:type="spellEnd"/>
      <w:r w:rsidRPr="00DD031F">
        <w:rPr>
          <w:rFonts w:ascii="Arial" w:eastAsia="Times New Roman" w:hAnsi="Arial" w:cs="Arial"/>
          <w:sz w:val="24"/>
          <w:szCs w:val="24"/>
        </w:rPr>
        <w:t xml:space="preserve"> krvi problematické.</w:t>
      </w:r>
    </w:p>
    <w:p w:rsidR="00DD031F" w:rsidRDefault="00DD031F" w:rsidP="00DD031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5C58" w:rsidRDefault="00DD5C58" w:rsidP="00DD031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5C58" w:rsidRDefault="00DD5C58" w:rsidP="00DD031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Tab. 1 Odber a uchovávanie vzoriek pre mikrobiologické vyšetrenie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76"/>
        <w:gridCol w:w="3111"/>
        <w:gridCol w:w="2801"/>
      </w:tblGrid>
      <w:tr w:rsidR="00DD7650" w:rsidTr="00DD7650">
        <w:tc>
          <w:tcPr>
            <w:tcW w:w="0" w:type="auto"/>
          </w:tcPr>
          <w:p w:rsidR="00DD5C58" w:rsidRPr="00DD5C58" w:rsidRDefault="00DD5C58" w:rsidP="00DD031F">
            <w:pPr>
              <w:spacing w:line="360" w:lineRule="auto"/>
              <w:rPr>
                <w:rFonts w:ascii="Arial" w:hAnsi="Arial" w:cs="Arial"/>
                <w:b/>
              </w:rPr>
            </w:pPr>
            <w:r w:rsidRPr="00DD5C58">
              <w:rPr>
                <w:rFonts w:ascii="Arial" w:hAnsi="Arial" w:cs="Arial"/>
                <w:b/>
              </w:rPr>
              <w:t>Druh materiálu</w:t>
            </w:r>
          </w:p>
        </w:tc>
        <w:tc>
          <w:tcPr>
            <w:tcW w:w="3111" w:type="dxa"/>
          </w:tcPr>
          <w:p w:rsidR="00DD5C58" w:rsidRPr="00DD5C58" w:rsidRDefault="00DD5C58" w:rsidP="000D494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D5C58">
              <w:rPr>
                <w:rFonts w:ascii="Arial" w:hAnsi="Arial" w:cs="Arial"/>
                <w:b/>
              </w:rPr>
              <w:t>Odberová súprava</w:t>
            </w:r>
          </w:p>
        </w:tc>
        <w:tc>
          <w:tcPr>
            <w:tcW w:w="2801" w:type="dxa"/>
          </w:tcPr>
          <w:p w:rsidR="00DD5C58" w:rsidRPr="00DD5C58" w:rsidRDefault="00DD5C58" w:rsidP="000D494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D5C58">
              <w:rPr>
                <w:rFonts w:ascii="Arial" w:hAnsi="Arial" w:cs="Arial"/>
                <w:b/>
              </w:rPr>
              <w:t>Skladovanie</w:t>
            </w:r>
          </w:p>
          <w:p w:rsidR="00DD5C58" w:rsidRPr="00DD5C58" w:rsidRDefault="00DD5C58" w:rsidP="000D49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D5C58">
              <w:rPr>
                <w:rFonts w:ascii="Arial" w:hAnsi="Arial" w:cs="Arial"/>
              </w:rPr>
              <w:t>(teplota</w:t>
            </w:r>
            <w:r w:rsidR="000D4945">
              <w:rPr>
                <w:rFonts w:ascii="Arial" w:hAnsi="Arial" w:cs="Arial"/>
              </w:rPr>
              <w:t xml:space="preserve"> </w:t>
            </w:r>
            <w:r w:rsidRPr="00DD5C58">
              <w:rPr>
                <w:rFonts w:ascii="Arial" w:hAnsi="Arial" w:cs="Arial"/>
              </w:rPr>
              <w:t>/</w:t>
            </w:r>
            <w:r w:rsidR="000D4945">
              <w:rPr>
                <w:rFonts w:ascii="Arial" w:hAnsi="Arial" w:cs="Arial"/>
              </w:rPr>
              <w:t xml:space="preserve"> </w:t>
            </w:r>
            <w:proofErr w:type="spellStart"/>
            <w:r w:rsidRPr="00DD5C58">
              <w:rPr>
                <w:rFonts w:ascii="Arial" w:hAnsi="Arial" w:cs="Arial"/>
              </w:rPr>
              <w:t>maxim</w:t>
            </w:r>
            <w:proofErr w:type="spellEnd"/>
            <w:r w:rsidRPr="00DD5C58">
              <w:rPr>
                <w:rFonts w:ascii="Arial" w:hAnsi="Arial" w:cs="Arial"/>
              </w:rPr>
              <w:t>. čas)</w:t>
            </w:r>
          </w:p>
        </w:tc>
      </w:tr>
      <w:tr w:rsidR="00DD7650" w:rsidTr="00DD7650">
        <w:tc>
          <w:tcPr>
            <w:tcW w:w="0" w:type="auto"/>
          </w:tcPr>
          <w:p w:rsidR="00DD5C58" w:rsidRDefault="00DD5C58" w:rsidP="00DD031F">
            <w:pPr>
              <w:spacing w:line="360" w:lineRule="auto"/>
              <w:rPr>
                <w:rFonts w:ascii="Arial" w:hAnsi="Arial" w:cs="Arial"/>
              </w:rPr>
            </w:pPr>
            <w:r w:rsidRPr="00DD5C58">
              <w:rPr>
                <w:rFonts w:ascii="Arial" w:hAnsi="Arial" w:cs="Arial"/>
              </w:rPr>
              <w:t>Výtery z</w:t>
            </w:r>
            <w:r>
              <w:rPr>
                <w:rFonts w:ascii="Arial" w:hAnsi="Arial" w:cs="Arial"/>
              </w:rPr>
              <w:t> horných dýchacích ciest</w:t>
            </w:r>
          </w:p>
          <w:p w:rsidR="00DD5C58" w:rsidRDefault="00DD5C58" w:rsidP="00DD031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Výtery z </w:t>
            </w:r>
            <w:proofErr w:type="spellStart"/>
            <w:r>
              <w:rPr>
                <w:rFonts w:ascii="Arial" w:hAnsi="Arial" w:cs="Arial"/>
              </w:rPr>
              <w:t>urogenitálneho</w:t>
            </w:r>
            <w:proofErr w:type="spellEnd"/>
            <w:r>
              <w:rPr>
                <w:rFonts w:ascii="Arial" w:hAnsi="Arial" w:cs="Arial"/>
              </w:rPr>
              <w:t xml:space="preserve"> traktu</w:t>
            </w:r>
          </w:p>
          <w:p w:rsidR="00DD5C58" w:rsidRDefault="00DD5C58" w:rsidP="00DD031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Výtery z rán</w:t>
            </w:r>
          </w:p>
          <w:p w:rsidR="00DD5C58" w:rsidRPr="00DD5C58" w:rsidRDefault="00DD5C58" w:rsidP="00DD031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Výtery z ucha </w:t>
            </w:r>
          </w:p>
        </w:tc>
        <w:tc>
          <w:tcPr>
            <w:tcW w:w="3111" w:type="dxa"/>
          </w:tcPr>
          <w:p w:rsidR="00DD5C58" w:rsidRPr="000D4945" w:rsidRDefault="00DD5C58" w:rsidP="000D49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4945">
              <w:rPr>
                <w:rFonts w:ascii="Arial" w:hAnsi="Arial" w:cs="Arial"/>
              </w:rPr>
              <w:t>Tampón s transportným médiom</w:t>
            </w:r>
          </w:p>
          <w:p w:rsidR="00DD5C58" w:rsidRPr="00DD5C58" w:rsidRDefault="00DD5C58" w:rsidP="000D494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4945">
              <w:rPr>
                <w:rFonts w:ascii="Arial" w:hAnsi="Arial" w:cs="Arial"/>
              </w:rPr>
              <w:t>Amies</w:t>
            </w:r>
            <w:proofErr w:type="spellEnd"/>
            <w:r w:rsidRPr="000D4945">
              <w:rPr>
                <w:rFonts w:ascii="Arial" w:hAnsi="Arial" w:cs="Arial"/>
              </w:rPr>
              <w:t xml:space="preserve"> (</w:t>
            </w:r>
            <w:proofErr w:type="spellStart"/>
            <w:r w:rsidRPr="000D4945">
              <w:rPr>
                <w:rFonts w:ascii="Arial" w:hAnsi="Arial" w:cs="Arial"/>
              </w:rPr>
              <w:t>Stuart</w:t>
            </w:r>
            <w:proofErr w:type="spellEnd"/>
            <w:r w:rsidRPr="000D4945">
              <w:rPr>
                <w:rFonts w:ascii="Arial" w:hAnsi="Arial" w:cs="Arial"/>
              </w:rPr>
              <w:t>)</w:t>
            </w:r>
          </w:p>
        </w:tc>
        <w:tc>
          <w:tcPr>
            <w:tcW w:w="2801" w:type="dxa"/>
          </w:tcPr>
          <w:p w:rsidR="00DD5C58" w:rsidRPr="00DD5C58" w:rsidRDefault="00DD5C58" w:rsidP="000D49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D5C58">
              <w:rPr>
                <w:rFonts w:ascii="Arial" w:hAnsi="Arial" w:cs="Arial"/>
              </w:rPr>
              <w:t>Izb. teplota</w:t>
            </w:r>
            <w:r>
              <w:rPr>
                <w:rFonts w:ascii="Arial" w:hAnsi="Arial" w:cs="Arial"/>
              </w:rPr>
              <w:t xml:space="preserve"> / 24 h</w:t>
            </w:r>
          </w:p>
        </w:tc>
      </w:tr>
      <w:tr w:rsidR="00DD7650" w:rsidTr="00DD7650">
        <w:tc>
          <w:tcPr>
            <w:tcW w:w="0" w:type="auto"/>
          </w:tcPr>
          <w:p w:rsidR="00DD5C58" w:rsidRPr="00DD5C58" w:rsidRDefault="00DD5C58" w:rsidP="00DD031F">
            <w:pPr>
              <w:spacing w:line="360" w:lineRule="auto"/>
              <w:rPr>
                <w:rFonts w:ascii="Arial" w:hAnsi="Arial" w:cs="Arial"/>
              </w:rPr>
            </w:pPr>
            <w:r w:rsidRPr="00DD5C58">
              <w:rPr>
                <w:rFonts w:ascii="Arial" w:hAnsi="Arial" w:cs="Arial"/>
              </w:rPr>
              <w:t>Moč</w:t>
            </w:r>
            <w:r>
              <w:rPr>
                <w:rFonts w:ascii="Arial" w:hAnsi="Arial" w:cs="Arial"/>
              </w:rPr>
              <w:t xml:space="preserve"> – stredný prúd</w:t>
            </w:r>
          </w:p>
        </w:tc>
        <w:tc>
          <w:tcPr>
            <w:tcW w:w="3111" w:type="dxa"/>
          </w:tcPr>
          <w:p w:rsidR="00DD5C58" w:rsidRPr="00DD7650" w:rsidRDefault="00DD7650" w:rsidP="000D49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D7650">
              <w:rPr>
                <w:rFonts w:ascii="Arial" w:hAnsi="Arial" w:cs="Arial"/>
              </w:rPr>
              <w:t>Sterilné nádoby</w:t>
            </w:r>
          </w:p>
        </w:tc>
        <w:tc>
          <w:tcPr>
            <w:tcW w:w="2801" w:type="dxa"/>
          </w:tcPr>
          <w:p w:rsidR="00DD5C58" w:rsidRDefault="00DD7650" w:rsidP="000D494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D7650">
              <w:rPr>
                <w:rFonts w:ascii="Arial" w:hAnsi="Arial" w:cs="Arial"/>
              </w:rPr>
              <w:t>Chlad</w:t>
            </w:r>
            <w:r>
              <w:rPr>
                <w:rFonts w:ascii="Arial" w:hAnsi="Arial" w:cs="Arial"/>
              </w:rPr>
              <w:t>n</w:t>
            </w:r>
            <w:r w:rsidR="005A5B40">
              <w:rPr>
                <w:rFonts w:ascii="Arial" w:hAnsi="Arial" w:cs="Arial"/>
              </w:rPr>
              <w:t>ič</w:t>
            </w:r>
            <w:proofErr w:type="spellEnd"/>
            <w:r>
              <w:rPr>
                <w:rFonts w:ascii="Arial" w:hAnsi="Arial" w:cs="Arial"/>
              </w:rPr>
              <w:t>. teplota / 24 h</w:t>
            </w:r>
          </w:p>
          <w:p w:rsidR="00D1197D" w:rsidRDefault="00D1197D" w:rsidP="000D494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krajnom prípade</w:t>
            </w:r>
          </w:p>
          <w:p w:rsidR="00D1197D" w:rsidRPr="00D1197D" w:rsidRDefault="00D1197D" w:rsidP="000D494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97D">
              <w:rPr>
                <w:rFonts w:ascii="Arial" w:hAnsi="Arial" w:cs="Arial"/>
                <w:b/>
              </w:rPr>
              <w:t>Najlepšie neskladovať</w:t>
            </w:r>
          </w:p>
        </w:tc>
      </w:tr>
      <w:tr w:rsidR="00DD7650" w:rsidTr="00DD7650">
        <w:tc>
          <w:tcPr>
            <w:tcW w:w="0" w:type="auto"/>
          </w:tcPr>
          <w:p w:rsidR="00DD5C58" w:rsidRPr="00D1197D" w:rsidRDefault="00D1197D" w:rsidP="00DD031F">
            <w:pPr>
              <w:spacing w:line="360" w:lineRule="auto"/>
              <w:rPr>
                <w:rFonts w:ascii="Arial" w:hAnsi="Arial" w:cs="Arial"/>
              </w:rPr>
            </w:pPr>
            <w:r w:rsidRPr="00D1197D">
              <w:rPr>
                <w:rFonts w:ascii="Arial" w:hAnsi="Arial" w:cs="Arial"/>
              </w:rPr>
              <w:t>Výter z rekta</w:t>
            </w:r>
          </w:p>
        </w:tc>
        <w:tc>
          <w:tcPr>
            <w:tcW w:w="3111" w:type="dxa"/>
          </w:tcPr>
          <w:p w:rsidR="00DD5C58" w:rsidRPr="00D1197D" w:rsidRDefault="00D1197D" w:rsidP="000D49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197D">
              <w:rPr>
                <w:rFonts w:ascii="Arial" w:hAnsi="Arial" w:cs="Arial"/>
              </w:rPr>
              <w:t>Tampón</w:t>
            </w:r>
            <w:r>
              <w:rPr>
                <w:rFonts w:ascii="Arial" w:hAnsi="Arial" w:cs="Arial"/>
              </w:rPr>
              <w:t xml:space="preserve"> s transportným médiom (</w:t>
            </w:r>
            <w:proofErr w:type="spellStart"/>
            <w:r>
              <w:rPr>
                <w:rFonts w:ascii="Arial" w:hAnsi="Arial" w:cs="Arial"/>
              </w:rPr>
              <w:t>Cary-Blair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801" w:type="dxa"/>
          </w:tcPr>
          <w:p w:rsidR="00DD5C58" w:rsidRDefault="00D1197D" w:rsidP="000D49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C58">
              <w:rPr>
                <w:rFonts w:ascii="Arial" w:hAnsi="Arial" w:cs="Arial"/>
              </w:rPr>
              <w:t>Izb. teplota</w:t>
            </w:r>
            <w:r>
              <w:rPr>
                <w:rFonts w:ascii="Arial" w:hAnsi="Arial" w:cs="Arial"/>
              </w:rPr>
              <w:t xml:space="preserve"> / 24 h</w:t>
            </w:r>
          </w:p>
        </w:tc>
      </w:tr>
      <w:tr w:rsidR="00DD7650" w:rsidTr="00DD7650">
        <w:tc>
          <w:tcPr>
            <w:tcW w:w="0" w:type="auto"/>
          </w:tcPr>
          <w:p w:rsidR="00DD5C58" w:rsidRPr="00D1197D" w:rsidRDefault="00D1197D" w:rsidP="00DD031F">
            <w:pPr>
              <w:spacing w:line="360" w:lineRule="auto"/>
              <w:rPr>
                <w:rFonts w:ascii="Arial" w:hAnsi="Arial" w:cs="Arial"/>
              </w:rPr>
            </w:pPr>
            <w:r w:rsidRPr="00D1197D">
              <w:rPr>
                <w:rFonts w:ascii="Arial" w:hAnsi="Arial" w:cs="Arial"/>
              </w:rPr>
              <w:t>Trus</w:t>
            </w:r>
          </w:p>
        </w:tc>
        <w:tc>
          <w:tcPr>
            <w:tcW w:w="3111" w:type="dxa"/>
          </w:tcPr>
          <w:p w:rsidR="00DD5C58" w:rsidRPr="00D1197D" w:rsidRDefault="00D1197D" w:rsidP="000D49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197D">
              <w:rPr>
                <w:rFonts w:ascii="Arial" w:hAnsi="Arial" w:cs="Arial"/>
              </w:rPr>
              <w:t xml:space="preserve">plastová nádoba, </w:t>
            </w:r>
            <w:proofErr w:type="spellStart"/>
            <w:r w:rsidRPr="00D1197D">
              <w:rPr>
                <w:rFonts w:ascii="Arial" w:hAnsi="Arial" w:cs="Arial"/>
              </w:rPr>
              <w:t>sáčok</w:t>
            </w:r>
            <w:proofErr w:type="spellEnd"/>
            <w:r w:rsidRPr="00D1197D">
              <w:rPr>
                <w:rFonts w:ascii="Arial" w:hAnsi="Arial" w:cs="Arial"/>
              </w:rPr>
              <w:t xml:space="preserve"> (rukavica)</w:t>
            </w:r>
          </w:p>
        </w:tc>
        <w:tc>
          <w:tcPr>
            <w:tcW w:w="2801" w:type="dxa"/>
          </w:tcPr>
          <w:p w:rsidR="00D1197D" w:rsidRDefault="00D1197D" w:rsidP="000D494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D7650">
              <w:rPr>
                <w:rFonts w:ascii="Arial" w:hAnsi="Arial" w:cs="Arial"/>
              </w:rPr>
              <w:t>Chlad</w:t>
            </w:r>
            <w:r>
              <w:rPr>
                <w:rFonts w:ascii="Arial" w:hAnsi="Arial" w:cs="Arial"/>
              </w:rPr>
              <w:t>n</w:t>
            </w:r>
            <w:r w:rsidR="005A5B40">
              <w:rPr>
                <w:rFonts w:ascii="Arial" w:hAnsi="Arial" w:cs="Arial"/>
              </w:rPr>
              <w:t>ič</w:t>
            </w:r>
            <w:proofErr w:type="spellEnd"/>
            <w:r>
              <w:rPr>
                <w:rFonts w:ascii="Arial" w:hAnsi="Arial" w:cs="Arial"/>
              </w:rPr>
              <w:t>. teplota / 24 h</w:t>
            </w:r>
          </w:p>
          <w:p w:rsidR="00DD5C58" w:rsidRDefault="00DD5C58" w:rsidP="00DD031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7650" w:rsidTr="00DD7650">
        <w:tc>
          <w:tcPr>
            <w:tcW w:w="0" w:type="auto"/>
          </w:tcPr>
          <w:p w:rsidR="00DD5C58" w:rsidRPr="00D1197D" w:rsidRDefault="00D1197D" w:rsidP="00DD031F">
            <w:pPr>
              <w:spacing w:line="360" w:lineRule="auto"/>
              <w:rPr>
                <w:rFonts w:ascii="Arial" w:hAnsi="Arial" w:cs="Arial"/>
              </w:rPr>
            </w:pPr>
            <w:r w:rsidRPr="00D1197D">
              <w:rPr>
                <w:rFonts w:ascii="Arial" w:hAnsi="Arial" w:cs="Arial"/>
              </w:rPr>
              <w:t>Hnis</w:t>
            </w:r>
          </w:p>
        </w:tc>
        <w:tc>
          <w:tcPr>
            <w:tcW w:w="3111" w:type="dxa"/>
          </w:tcPr>
          <w:p w:rsidR="00DD5C58" w:rsidRPr="00D1197D" w:rsidRDefault="00D1197D" w:rsidP="000D49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197D">
              <w:rPr>
                <w:rFonts w:ascii="Arial" w:hAnsi="Arial" w:cs="Arial"/>
              </w:rPr>
              <w:t xml:space="preserve">Sterilná skúmavka alebo injekčná </w:t>
            </w:r>
            <w:r w:rsidR="00082957">
              <w:rPr>
                <w:rFonts w:ascii="Arial" w:hAnsi="Arial" w:cs="Arial"/>
              </w:rPr>
              <w:t>striekačka</w:t>
            </w:r>
          </w:p>
        </w:tc>
        <w:tc>
          <w:tcPr>
            <w:tcW w:w="2801" w:type="dxa"/>
          </w:tcPr>
          <w:p w:rsidR="00082957" w:rsidRDefault="00082957" w:rsidP="000D494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D7650">
              <w:rPr>
                <w:rFonts w:ascii="Arial" w:hAnsi="Arial" w:cs="Arial"/>
              </w:rPr>
              <w:t>Chlad</w:t>
            </w:r>
            <w:r>
              <w:rPr>
                <w:rFonts w:ascii="Arial" w:hAnsi="Arial" w:cs="Arial"/>
              </w:rPr>
              <w:t>n</w:t>
            </w:r>
            <w:r w:rsidR="005A5B40">
              <w:rPr>
                <w:rFonts w:ascii="Arial" w:hAnsi="Arial" w:cs="Arial"/>
              </w:rPr>
              <w:t>ič</w:t>
            </w:r>
            <w:proofErr w:type="spellEnd"/>
            <w:r>
              <w:rPr>
                <w:rFonts w:ascii="Arial" w:hAnsi="Arial" w:cs="Arial"/>
              </w:rPr>
              <w:t>. teplota / 24 h</w:t>
            </w:r>
          </w:p>
          <w:p w:rsidR="00DD5C58" w:rsidRDefault="00082957" w:rsidP="000D49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C58">
              <w:rPr>
                <w:rFonts w:ascii="Arial" w:hAnsi="Arial" w:cs="Arial"/>
              </w:rPr>
              <w:t>Izb. teplota</w:t>
            </w:r>
            <w:r>
              <w:rPr>
                <w:rFonts w:ascii="Arial" w:hAnsi="Arial" w:cs="Arial"/>
              </w:rPr>
              <w:t xml:space="preserve"> / 12 h</w:t>
            </w:r>
          </w:p>
        </w:tc>
      </w:tr>
      <w:tr w:rsidR="00DD7650" w:rsidTr="00DD7650">
        <w:tc>
          <w:tcPr>
            <w:tcW w:w="0" w:type="auto"/>
          </w:tcPr>
          <w:p w:rsidR="00DD5C58" w:rsidRPr="00082957" w:rsidRDefault="00082957" w:rsidP="00DD031F">
            <w:pPr>
              <w:spacing w:line="360" w:lineRule="auto"/>
              <w:rPr>
                <w:rFonts w:ascii="Arial" w:hAnsi="Arial" w:cs="Arial"/>
              </w:rPr>
            </w:pPr>
            <w:r w:rsidRPr="00082957">
              <w:rPr>
                <w:rFonts w:ascii="Arial" w:hAnsi="Arial" w:cs="Arial"/>
              </w:rPr>
              <w:t>Mlieko</w:t>
            </w:r>
          </w:p>
        </w:tc>
        <w:tc>
          <w:tcPr>
            <w:tcW w:w="3111" w:type="dxa"/>
          </w:tcPr>
          <w:p w:rsidR="00DD5C58" w:rsidRDefault="000D4945" w:rsidP="000D49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7D">
              <w:rPr>
                <w:rFonts w:ascii="Arial" w:hAnsi="Arial" w:cs="Arial"/>
              </w:rPr>
              <w:t>Sterilná skúmavka</w:t>
            </w:r>
          </w:p>
        </w:tc>
        <w:tc>
          <w:tcPr>
            <w:tcW w:w="2801" w:type="dxa"/>
          </w:tcPr>
          <w:p w:rsidR="000D4945" w:rsidRDefault="000D4945" w:rsidP="000D494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D7650">
              <w:rPr>
                <w:rFonts w:ascii="Arial" w:hAnsi="Arial" w:cs="Arial"/>
              </w:rPr>
              <w:t>Chlad</w:t>
            </w:r>
            <w:r>
              <w:rPr>
                <w:rFonts w:ascii="Arial" w:hAnsi="Arial" w:cs="Arial"/>
              </w:rPr>
              <w:t>n</w:t>
            </w:r>
            <w:r w:rsidR="005A5B40">
              <w:rPr>
                <w:rFonts w:ascii="Arial" w:hAnsi="Arial" w:cs="Arial"/>
              </w:rPr>
              <w:t>ič</w:t>
            </w:r>
            <w:proofErr w:type="spellEnd"/>
            <w:r>
              <w:rPr>
                <w:rFonts w:ascii="Arial" w:hAnsi="Arial" w:cs="Arial"/>
              </w:rPr>
              <w:t>. teplota / 24 h</w:t>
            </w:r>
          </w:p>
          <w:p w:rsidR="00DD5C58" w:rsidRDefault="00DD5C58" w:rsidP="00DD031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7650" w:rsidTr="00DD7650">
        <w:tc>
          <w:tcPr>
            <w:tcW w:w="0" w:type="auto"/>
          </w:tcPr>
          <w:p w:rsidR="00DD5C58" w:rsidRPr="000D4945" w:rsidRDefault="000D4945" w:rsidP="00DD031F">
            <w:pPr>
              <w:spacing w:line="360" w:lineRule="auto"/>
              <w:rPr>
                <w:rFonts w:ascii="Arial" w:hAnsi="Arial" w:cs="Arial"/>
              </w:rPr>
            </w:pPr>
            <w:r w:rsidRPr="000D4945">
              <w:rPr>
                <w:rFonts w:ascii="Arial" w:hAnsi="Arial" w:cs="Arial"/>
              </w:rPr>
              <w:t>Tkanivá (orgány)</w:t>
            </w:r>
          </w:p>
        </w:tc>
        <w:tc>
          <w:tcPr>
            <w:tcW w:w="3111" w:type="dxa"/>
          </w:tcPr>
          <w:p w:rsidR="00DD5C58" w:rsidRDefault="000D4945" w:rsidP="000D49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7D">
              <w:rPr>
                <w:rFonts w:ascii="Arial" w:hAnsi="Arial" w:cs="Arial"/>
              </w:rPr>
              <w:t>Sterilná skúmavka</w:t>
            </w:r>
          </w:p>
        </w:tc>
        <w:tc>
          <w:tcPr>
            <w:tcW w:w="2801" w:type="dxa"/>
          </w:tcPr>
          <w:p w:rsidR="000D4945" w:rsidRDefault="000D4945" w:rsidP="000D494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D7650">
              <w:rPr>
                <w:rFonts w:ascii="Arial" w:hAnsi="Arial" w:cs="Arial"/>
              </w:rPr>
              <w:t>Chlad</w:t>
            </w:r>
            <w:r>
              <w:rPr>
                <w:rFonts w:ascii="Arial" w:hAnsi="Arial" w:cs="Arial"/>
              </w:rPr>
              <w:t>n</w:t>
            </w:r>
            <w:r w:rsidR="005A5B40">
              <w:rPr>
                <w:rFonts w:ascii="Arial" w:hAnsi="Arial" w:cs="Arial"/>
              </w:rPr>
              <w:t>ič</w:t>
            </w:r>
            <w:bookmarkStart w:id="0" w:name="_GoBack"/>
            <w:bookmarkEnd w:id="0"/>
            <w:r>
              <w:rPr>
                <w:rFonts w:ascii="Arial" w:hAnsi="Arial" w:cs="Arial"/>
              </w:rPr>
              <w:t>. teplota / 24 h</w:t>
            </w:r>
          </w:p>
          <w:p w:rsidR="00DD5C58" w:rsidRPr="000D4945" w:rsidRDefault="000D4945" w:rsidP="000D494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D4945">
              <w:rPr>
                <w:rFonts w:ascii="Arial" w:hAnsi="Arial" w:cs="Arial"/>
                <w:b/>
              </w:rPr>
              <w:t>NEZMRAZOVAŤ!</w:t>
            </w:r>
          </w:p>
        </w:tc>
      </w:tr>
    </w:tbl>
    <w:p w:rsidR="00DD5C58" w:rsidRDefault="00DD5C58" w:rsidP="00DD031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6186B" w:rsidRDefault="0096186B" w:rsidP="00DD031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6186B" w:rsidRDefault="0096186B" w:rsidP="0096186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Balenie vzoriek</w:t>
      </w:r>
    </w:p>
    <w:p w:rsidR="0096186B" w:rsidRDefault="0096186B" w:rsidP="0096186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6186B" w:rsidRPr="0096186B" w:rsidRDefault="0074110B" w:rsidP="009618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Vzorky sú vo</w:t>
      </w:r>
      <w:r w:rsidR="00650766">
        <w:rPr>
          <w:rFonts w:ascii="Arial" w:hAnsi="Arial" w:cs="Arial"/>
          <w:sz w:val="24"/>
          <w:szCs w:val="24"/>
        </w:rPr>
        <w:t xml:space="preserve"> všeobecnosti považované za infekčný materiál a preto musia byť adekvátne zabalené. Musia byť zabezpečené proti vytečeniu, rozliatiu alebo voči akémukoľvek kontaminovaniu okolitého prostredia. Vzorky sa balia do nepriepustných obalov  a obaly, ktoré môžu prasknúť by mali byť chránené proti rozbitiu. Vonkajšok obalu a ani žiadanka nesmú byť kontaminované biologickým</w:t>
      </w:r>
      <w:r>
        <w:rPr>
          <w:rFonts w:ascii="Arial" w:hAnsi="Arial" w:cs="Arial"/>
          <w:sz w:val="24"/>
          <w:szCs w:val="24"/>
        </w:rPr>
        <w:t xml:space="preserve"> materiálom. Pokiaľ vzorka nespĺňa</w:t>
      </w:r>
      <w:r w:rsidR="00650766">
        <w:rPr>
          <w:rFonts w:ascii="Arial" w:hAnsi="Arial" w:cs="Arial"/>
          <w:sz w:val="24"/>
          <w:szCs w:val="24"/>
        </w:rPr>
        <w:t xml:space="preserve">  uvedené náležitosti, prepravca môže vzorku </w:t>
      </w:r>
      <w:r>
        <w:rPr>
          <w:rFonts w:ascii="Arial" w:hAnsi="Arial" w:cs="Arial"/>
          <w:sz w:val="24"/>
          <w:szCs w:val="24"/>
        </w:rPr>
        <w:t>odmietnuť prepraviť!</w:t>
      </w:r>
    </w:p>
    <w:sectPr w:rsidR="0096186B" w:rsidRPr="0096186B" w:rsidSect="0035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70"/>
    <w:rsid w:val="00026C0D"/>
    <w:rsid w:val="00082957"/>
    <w:rsid w:val="000D4945"/>
    <w:rsid w:val="001347CC"/>
    <w:rsid w:val="00136A84"/>
    <w:rsid w:val="001F1A7B"/>
    <w:rsid w:val="00224B22"/>
    <w:rsid w:val="00245649"/>
    <w:rsid w:val="00264670"/>
    <w:rsid w:val="00330D06"/>
    <w:rsid w:val="00350E4D"/>
    <w:rsid w:val="003C21F3"/>
    <w:rsid w:val="003C76DA"/>
    <w:rsid w:val="003D4A70"/>
    <w:rsid w:val="003D4E6C"/>
    <w:rsid w:val="00430F4D"/>
    <w:rsid w:val="004902DA"/>
    <w:rsid w:val="004C0C89"/>
    <w:rsid w:val="004D0E20"/>
    <w:rsid w:val="004F7AE7"/>
    <w:rsid w:val="00514098"/>
    <w:rsid w:val="00596761"/>
    <w:rsid w:val="005A5B40"/>
    <w:rsid w:val="005E33B2"/>
    <w:rsid w:val="00606033"/>
    <w:rsid w:val="00625B11"/>
    <w:rsid w:val="00650766"/>
    <w:rsid w:val="007063A2"/>
    <w:rsid w:val="0074110B"/>
    <w:rsid w:val="00746B08"/>
    <w:rsid w:val="00780CC5"/>
    <w:rsid w:val="00791B63"/>
    <w:rsid w:val="00810A7E"/>
    <w:rsid w:val="00897711"/>
    <w:rsid w:val="008B20C0"/>
    <w:rsid w:val="008C5419"/>
    <w:rsid w:val="008F131E"/>
    <w:rsid w:val="0096186B"/>
    <w:rsid w:val="009C6625"/>
    <w:rsid w:val="009D7656"/>
    <w:rsid w:val="00A35E39"/>
    <w:rsid w:val="00A62A6B"/>
    <w:rsid w:val="00AE1DB9"/>
    <w:rsid w:val="00C61E3C"/>
    <w:rsid w:val="00C928FC"/>
    <w:rsid w:val="00D1197D"/>
    <w:rsid w:val="00D72519"/>
    <w:rsid w:val="00DC1A8A"/>
    <w:rsid w:val="00DD031F"/>
    <w:rsid w:val="00DD4137"/>
    <w:rsid w:val="00DD5C58"/>
    <w:rsid w:val="00DD667A"/>
    <w:rsid w:val="00DD7650"/>
    <w:rsid w:val="00DE2CFD"/>
    <w:rsid w:val="00E54AC5"/>
    <w:rsid w:val="00F4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D7656"/>
    <w:pPr>
      <w:spacing w:after="0" w:line="240" w:lineRule="auto"/>
      <w:jc w:val="both"/>
    </w:pPr>
    <w:rPr>
      <w:rFonts w:ascii="Times New Roman" w:eastAsia="Times New Roman" w:hAnsi="Times New Roman" w:cs="Times New Roman"/>
      <w:color w:val="163990"/>
      <w:sz w:val="24"/>
      <w:szCs w:val="24"/>
    </w:rPr>
  </w:style>
  <w:style w:type="table" w:styleId="Mriekatabuky">
    <w:name w:val="Table Grid"/>
    <w:basedOn w:val="Normlnatabuka"/>
    <w:uiPriority w:val="59"/>
    <w:rsid w:val="003C7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D7656"/>
    <w:pPr>
      <w:spacing w:after="0" w:line="240" w:lineRule="auto"/>
      <w:jc w:val="both"/>
    </w:pPr>
    <w:rPr>
      <w:rFonts w:ascii="Times New Roman" w:eastAsia="Times New Roman" w:hAnsi="Times New Roman" w:cs="Times New Roman"/>
      <w:color w:val="163990"/>
      <w:sz w:val="24"/>
      <w:szCs w:val="24"/>
    </w:rPr>
  </w:style>
  <w:style w:type="table" w:styleId="Mriekatabuky">
    <w:name w:val="Table Grid"/>
    <w:basedOn w:val="Normlnatabuka"/>
    <w:uiPriority w:val="59"/>
    <w:rsid w:val="003C7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3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3209">
                          <w:marLeft w:val="19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6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4829">
                          <w:marLeft w:val="19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0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0604">
                          <w:marLeft w:val="19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0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0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VETSERVIS_1</dc:creator>
  <cp:lastModifiedBy>Lajko</cp:lastModifiedBy>
  <cp:revision>2</cp:revision>
  <dcterms:created xsi:type="dcterms:W3CDTF">2017-03-06T10:19:00Z</dcterms:created>
  <dcterms:modified xsi:type="dcterms:W3CDTF">2017-03-06T10:19:00Z</dcterms:modified>
</cp:coreProperties>
</file>